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950"/>
        <w:gridCol w:w="1060"/>
        <w:gridCol w:w="60"/>
        <w:gridCol w:w="868"/>
        <w:gridCol w:w="1794"/>
      </w:tblGrid>
      <w:tr w:rsidR="00F94A8B" w:rsidRPr="00C72994" w:rsidTr="0071420A">
        <w:tc>
          <w:tcPr>
            <w:tcW w:w="5000" w:type="pct"/>
            <w:gridSpan w:val="6"/>
            <w:vAlign w:val="center"/>
          </w:tcPr>
          <w:p w:rsidR="00F94A8B" w:rsidRPr="00C72994" w:rsidRDefault="00075770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D</w:t>
            </w:r>
            <w:r w:rsidR="000F61F4" w:rsidRP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ATOS INFORMATIVOS</w:t>
            </w:r>
            <w:r w:rsidRP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:</w:t>
            </w:r>
          </w:p>
        </w:tc>
      </w:tr>
      <w:tr w:rsidR="00F94A8B" w:rsidRPr="00585BC6" w:rsidTr="0071420A">
        <w:tc>
          <w:tcPr>
            <w:tcW w:w="1825" w:type="pct"/>
            <w:vAlign w:val="center"/>
          </w:tcPr>
          <w:p w:rsidR="00C73E1D" w:rsidRPr="00F94A8B" w:rsidRDefault="00C73E1D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Tema:</w:t>
            </w:r>
          </w:p>
        </w:tc>
        <w:tc>
          <w:tcPr>
            <w:tcW w:w="3175" w:type="pct"/>
            <w:gridSpan w:val="5"/>
            <w:vAlign w:val="center"/>
          </w:tcPr>
          <w:p w:rsidR="00C73E1D" w:rsidRPr="00C72994" w:rsidRDefault="00C72994" w:rsidP="00C72994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</w:pPr>
            <w:r w:rsidRPr="00C7299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Resolución 052 – Represas en la cuenca alta del Río 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P</w:t>
            </w:r>
            <w:r w:rsidRPr="00C7299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araguay, 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sistema de humedales </w:t>
            </w:r>
            <w:r w:rsidRPr="00C7299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Pantanal 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y</w:t>
            </w:r>
            <w:r w:rsidRPr="00C7299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 Paraguay-Paraná</w:t>
            </w:r>
          </w:p>
        </w:tc>
      </w:tr>
      <w:tr w:rsidR="00F94A8B" w:rsidRPr="00075770" w:rsidTr="0071420A">
        <w:tc>
          <w:tcPr>
            <w:tcW w:w="1825" w:type="pct"/>
            <w:vAlign w:val="center"/>
          </w:tcPr>
          <w:p w:rsidR="00C73E1D" w:rsidRPr="00F94A8B" w:rsidRDefault="00C73E1D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Fecha y lugar:</w:t>
            </w:r>
          </w:p>
        </w:tc>
        <w:tc>
          <w:tcPr>
            <w:tcW w:w="3175" w:type="pct"/>
            <w:gridSpan w:val="5"/>
            <w:vAlign w:val="center"/>
          </w:tcPr>
          <w:p w:rsidR="00C73E1D" w:rsidRPr="00F94A8B" w:rsidRDefault="00C72994" w:rsidP="001B32B4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Videoconferencia, </w:t>
            </w:r>
            <w:r w:rsidR="001B32B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jueves 03 de marzo, 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2022</w:t>
            </w:r>
          </w:p>
        </w:tc>
      </w:tr>
      <w:tr w:rsidR="00C72994" w:rsidRPr="00075770" w:rsidTr="00C72994">
        <w:tc>
          <w:tcPr>
            <w:tcW w:w="3525" w:type="pct"/>
            <w:gridSpan w:val="4"/>
            <w:vAlign w:val="center"/>
          </w:tcPr>
          <w:p w:rsidR="00C72994" w:rsidRPr="00F94A8B" w:rsidRDefault="00C7299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C72994" w:rsidRPr="00F94A8B" w:rsidRDefault="00C7299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F94A8B" w:rsidRPr="00F94A8B" w:rsidTr="0071420A">
        <w:tc>
          <w:tcPr>
            <w:tcW w:w="5000" w:type="pct"/>
            <w:gridSpan w:val="6"/>
            <w:vAlign w:val="center"/>
          </w:tcPr>
          <w:p w:rsidR="00AF119B" w:rsidRPr="00F94A8B" w:rsidRDefault="000F61F4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ASISTENTES</w:t>
            </w:r>
            <w:r w:rsid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:</w:t>
            </w:r>
          </w:p>
        </w:tc>
      </w:tr>
      <w:tr w:rsidR="00075770" w:rsidRPr="00F94A8B" w:rsidTr="00C72994">
        <w:tc>
          <w:tcPr>
            <w:tcW w:w="3492" w:type="pct"/>
            <w:gridSpan w:val="3"/>
          </w:tcPr>
          <w:p w:rsidR="00075770" w:rsidRDefault="00C72994" w:rsidP="00075770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ECOA</w:t>
            </w:r>
            <w:proofErr w:type="spellEnd"/>
          </w:p>
          <w:p w:rsidR="00C72994" w:rsidRDefault="00C72994" w:rsidP="00C729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André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Luiz</w:t>
            </w:r>
            <w:proofErr w:type="spellEnd"/>
            <w:r w:rsidR="008542AD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- </w:t>
            </w:r>
            <w:hyperlink r:id="rId7" w:history="1">
              <w:r w:rsidR="007B217C" w:rsidRPr="00BD45D7">
                <w:rPr>
                  <w:rStyle w:val="Hyperlink"/>
                  <w:rFonts w:ascii="Segoe UI Light" w:hAnsi="Segoe UI Light" w:cs="Segoe UI Light"/>
                  <w:sz w:val="20"/>
                  <w:szCs w:val="20"/>
                  <w:lang w:val="es-EC"/>
                </w:rPr>
                <w:t>andre@riosvivos.org.br</w:t>
              </w:r>
            </w:hyperlink>
            <w:r w:rsid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</w:t>
            </w:r>
          </w:p>
          <w:p w:rsidR="008542AD" w:rsidRDefault="00C72994" w:rsidP="008542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Paula Isla</w:t>
            </w:r>
            <w:r w:rsidR="008542AD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- </w:t>
            </w:r>
            <w:hyperlink r:id="rId8" w:history="1">
              <w:r w:rsidR="001B32B4" w:rsidRPr="00BD45D7">
                <w:rPr>
                  <w:rStyle w:val="Hyperlink"/>
                  <w:rFonts w:ascii="Segoe UI Light" w:hAnsi="Segoe UI Light" w:cs="Segoe UI Light"/>
                  <w:sz w:val="20"/>
                  <w:szCs w:val="20"/>
                  <w:lang w:val="es-EC"/>
                </w:rPr>
                <w:t>paula@riosvivos.org.br</w:t>
              </w:r>
            </w:hyperlink>
          </w:p>
          <w:p w:rsidR="001B32B4" w:rsidRDefault="001B32B4" w:rsidP="001B32B4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WWF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Brasil</w:t>
            </w:r>
          </w:p>
          <w:p w:rsidR="001B32B4" w:rsidRPr="007B217C" w:rsidRDefault="001B32B4" w:rsidP="007B217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Casio Bernardino </w:t>
            </w: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highlight w:val="yellow"/>
                <w:lang w:val="es-EC"/>
              </w:rPr>
              <w:t>(correo)</w:t>
            </w:r>
          </w:p>
          <w:p w:rsidR="001B32B4" w:rsidRDefault="001B32B4" w:rsidP="001B32B4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ISPN</w:t>
            </w:r>
            <w:proofErr w:type="spellEnd"/>
          </w:p>
          <w:p w:rsidR="001B32B4" w:rsidRPr="007B217C" w:rsidRDefault="001B32B4" w:rsidP="007B217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Fabio </w:t>
            </w:r>
            <w:proofErr w:type="spellStart"/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Vaz</w:t>
            </w:r>
            <w:proofErr w:type="spellEnd"/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</w:t>
            </w: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highlight w:val="yellow"/>
                <w:lang w:val="es-EC"/>
              </w:rPr>
              <w:t>(correo)</w:t>
            </w:r>
          </w:p>
          <w:p w:rsidR="001B32B4" w:rsidRPr="007B217C" w:rsidRDefault="001B32B4" w:rsidP="001B32B4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Fundación para la Conservación del Bosque </w:t>
            </w:r>
            <w:proofErr w:type="spellStart"/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Chiquitano</w:t>
            </w:r>
            <w:proofErr w:type="spellEnd"/>
          </w:p>
          <w:p w:rsidR="001B32B4" w:rsidRPr="007B217C" w:rsidRDefault="001B32B4" w:rsidP="007B217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Roberto Vides (</w:t>
            </w: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highlight w:val="yellow"/>
                <w:lang w:val="es-EC"/>
              </w:rPr>
              <w:t>correo</w:t>
            </w:r>
            <w:r w:rsidRP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)</w:t>
            </w:r>
          </w:p>
        </w:tc>
        <w:tc>
          <w:tcPr>
            <w:tcW w:w="1508" w:type="pct"/>
            <w:gridSpan w:val="3"/>
          </w:tcPr>
          <w:p w:rsidR="00075770" w:rsidRPr="00F94A8B" w:rsidRDefault="00075770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IUCN</w:t>
            </w:r>
          </w:p>
          <w:p w:rsidR="00075770" w:rsidRDefault="00075770" w:rsidP="00C729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5" w:hanging="218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L</w:t>
            </w:r>
            <w:r w:rsidR="00C7299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aura Piñeiros</w:t>
            </w:r>
          </w:p>
          <w:p w:rsidR="008542AD" w:rsidRPr="008542AD" w:rsidRDefault="00F8090C" w:rsidP="008542AD">
            <w:pPr>
              <w:spacing w:line="276" w:lineRule="auto"/>
              <w:ind w:left="37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hyperlink r:id="rId9" w:history="1">
              <w:r w:rsidR="007B217C" w:rsidRPr="00BD45D7">
                <w:rPr>
                  <w:rStyle w:val="Hyperlink"/>
                  <w:rFonts w:ascii="Segoe UI Light" w:hAnsi="Segoe UI Light" w:cs="Segoe UI Light"/>
                  <w:sz w:val="20"/>
                  <w:szCs w:val="20"/>
                  <w:lang w:val="es-EC"/>
                </w:rPr>
                <w:t>laura.pineiros@iucn.org</w:t>
              </w:r>
            </w:hyperlink>
            <w:r w:rsid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</w:t>
            </w:r>
          </w:p>
        </w:tc>
      </w:tr>
      <w:tr w:rsidR="00F94A8B" w:rsidRPr="00F94A8B" w:rsidTr="0071420A">
        <w:tc>
          <w:tcPr>
            <w:tcW w:w="5000" w:type="pct"/>
            <w:gridSpan w:val="6"/>
            <w:vAlign w:val="center"/>
          </w:tcPr>
          <w:p w:rsidR="00C73E1D" w:rsidRPr="00F94A8B" w:rsidRDefault="00C73E1D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F94A8B" w:rsidRPr="00F94A8B" w:rsidTr="0071420A">
        <w:tc>
          <w:tcPr>
            <w:tcW w:w="5000" w:type="pct"/>
            <w:gridSpan w:val="6"/>
            <w:vAlign w:val="center"/>
          </w:tcPr>
          <w:p w:rsidR="00C73E1D" w:rsidRPr="00F94A8B" w:rsidRDefault="000F61F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PUNTOS RELEVANTES:</w:t>
            </w:r>
          </w:p>
        </w:tc>
      </w:tr>
      <w:tr w:rsidR="00F94A8B" w:rsidRPr="005C3D1D" w:rsidTr="0071420A">
        <w:tc>
          <w:tcPr>
            <w:tcW w:w="5000" w:type="pct"/>
            <w:gridSpan w:val="6"/>
            <w:vAlign w:val="center"/>
          </w:tcPr>
          <w:p w:rsidR="005C3D1D" w:rsidRDefault="00FA1215" w:rsidP="00DB27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Muchas de las propuestas </w:t>
            </w:r>
            <w:r w:rsidR="005C3D1D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del plan de trabajo han sido atendidas por la</w:t>
            </w:r>
            <w:r w:rsidR="001B0B16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s</w:t>
            </w:r>
            <w:r w:rsidR="005C3D1D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acciones de las organizaciones que impulsaron la resolución.  Por ejemplo, </w:t>
            </w:r>
            <w:proofErr w:type="spellStart"/>
            <w:r w:rsidR="005C3D1D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WWF</w:t>
            </w:r>
            <w:proofErr w:type="spellEnd"/>
            <w:r w:rsidR="005C3D1D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tiene un análisis de alternativas para la generación eléctrica.  Es necesario divulgar e involucrar a otros actores como el sector privado</w:t>
            </w:r>
            <w:r w:rsidR="00903229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, instituciones financieras</w:t>
            </w:r>
            <w:r w:rsidR="005C3D1D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y los gobiernos locales.</w:t>
            </w:r>
          </w:p>
          <w:p w:rsidR="005C3D1D" w:rsidRDefault="00903229" w:rsidP="00DB27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Es necesario traer el problema al consiente colectivo, teniendo en cuanta los objetivos de los eventos regionales, el </w:t>
            </w:r>
            <w:r w:rsidR="00934ACA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público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, etc.</w:t>
            </w:r>
          </w:p>
          <w:p w:rsidR="00903229" w:rsidRDefault="00903229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Existe la posibilidad de presentar la experiencia en el seminario Esquemas de Conservación de Ríos, organizado por UICN;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TNC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y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USFQ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.  Habría que plantear el tema alrededor de la afectación a la biodiversidad de agua dulce del Pantanal</w:t>
            </w:r>
          </w:p>
          <w:p w:rsidR="00903229" w:rsidRDefault="00903229" w:rsidP="00DB27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Estudios necesarios:</w:t>
            </w:r>
          </w:p>
          <w:p w:rsidR="00903229" w:rsidRDefault="00903229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Correlación entre la construcción de represas y el caudal de agua en el Pantanal</w:t>
            </w:r>
          </w:p>
          <w:p w:rsidR="00903229" w:rsidRDefault="00903229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Análisis estratégico de necesidades de capacitación y fortalecimiento </w:t>
            </w:r>
            <w:r w:rsidR="001B0B16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institucional</w:t>
            </w:r>
          </w:p>
          <w:p w:rsidR="00903229" w:rsidRDefault="001B0B16" w:rsidP="00DB27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Las organizaciones involucradas están dispuestas a apoyar el plan de trabajo para la resolución.  Se revisará la propuesta de UICN</w:t>
            </w:r>
          </w:p>
          <w:p w:rsidR="001B0B16" w:rsidRDefault="001B0B16" w:rsidP="00DB27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Se insiste en la posibilidad de sinergias con otras resoluciones /recomendaciones.  Crear un fondo común que permita acciones de mayor impacto desde lo comunicacional hasta acciones concretas en territorio.</w:t>
            </w:r>
          </w:p>
          <w:p w:rsidR="001B0B16" w:rsidRDefault="001B0B16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1B0B16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Fundación para la Conservación del Bosque </w:t>
            </w:r>
            <w:proofErr w:type="spellStart"/>
            <w:r w:rsidRPr="001B0B16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Chiquitano</w:t>
            </w:r>
            <w:proofErr w:type="spellEnd"/>
            <w:r w:rsidRPr="001B0B16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en Bolivia promueve la resolución que busca la declaratoria de prioridad de conservación de los bosques secos tropicales de América del Sur</w:t>
            </w:r>
          </w:p>
          <w:p w:rsidR="00934ACA" w:rsidRDefault="00934ACA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El Comité Brasilero de la UICN tiene muchas expectativas en el cumplimiento de las resoluciones</w:t>
            </w:r>
          </w:p>
          <w:p w:rsidR="00934ACA" w:rsidRDefault="00934ACA" w:rsidP="00DB27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Se sugiere involucrar a las Comisiones, particularmente la de Gestión de Ecosistemas</w:t>
            </w:r>
          </w:p>
          <w:p w:rsidR="00934ACA" w:rsidRDefault="00934ACA" w:rsidP="00DB27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lastRenderedPageBreak/>
              <w:t>Se insiste en buscar una reunión con el Director Regional para generar sinergias, acciones colaborativas y con enfoque transfronterizo</w:t>
            </w:r>
          </w:p>
          <w:p w:rsidR="00DB2738" w:rsidRPr="00DB2738" w:rsidRDefault="00DB2738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DB2738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Presentación de resoluciones y recomendaciones</w:t>
            </w:r>
          </w:p>
          <w:p w:rsidR="00DB2738" w:rsidRPr="00DB2738" w:rsidRDefault="00DB2738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DB2738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Resumen de planes de acción (compartir para analizar)</w:t>
            </w:r>
          </w:p>
          <w:p w:rsidR="00DB2738" w:rsidRPr="00DB2738" w:rsidRDefault="00DB2738" w:rsidP="00DB2738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DB2738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Sinergias</w:t>
            </w:r>
          </w:p>
          <w:p w:rsidR="00DB2738" w:rsidRPr="00DB2738" w:rsidRDefault="00DB2738" w:rsidP="00DB2738">
            <w:p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F94A8B" w:rsidRPr="005C3D1D" w:rsidTr="0071420A">
        <w:tc>
          <w:tcPr>
            <w:tcW w:w="5000" w:type="pct"/>
            <w:gridSpan w:val="6"/>
            <w:vAlign w:val="center"/>
          </w:tcPr>
          <w:p w:rsidR="00C73E1D" w:rsidRPr="00903229" w:rsidRDefault="00C73E1D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</w:pPr>
          </w:p>
        </w:tc>
      </w:tr>
      <w:tr w:rsidR="00F94A8B" w:rsidRPr="005C3D1D" w:rsidTr="0071420A">
        <w:tc>
          <w:tcPr>
            <w:tcW w:w="5000" w:type="pct"/>
            <w:gridSpan w:val="6"/>
            <w:vAlign w:val="center"/>
          </w:tcPr>
          <w:p w:rsidR="00C73E1D" w:rsidRPr="00F94A8B" w:rsidRDefault="000F61F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PASOS A SEGUIR</w:t>
            </w:r>
          </w:p>
        </w:tc>
      </w:tr>
      <w:tr w:rsidR="00F94A8B" w:rsidRPr="005C3D1D" w:rsidTr="00075770">
        <w:tc>
          <w:tcPr>
            <w:tcW w:w="2905" w:type="pct"/>
            <w:gridSpan w:val="2"/>
            <w:vAlign w:val="center"/>
          </w:tcPr>
          <w:p w:rsidR="00AF119B" w:rsidRPr="00F94A8B" w:rsidRDefault="00AF119B" w:rsidP="00AF119B">
            <w:pPr>
              <w:pStyle w:val="ListParagraph"/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</w:p>
          <w:p w:rsidR="000F61F4" w:rsidRPr="00F94A8B" w:rsidRDefault="0071420A" w:rsidP="00AF119B">
            <w:pPr>
              <w:pStyle w:val="ListParagraph"/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Actividad</w:t>
            </w:r>
          </w:p>
        </w:tc>
        <w:tc>
          <w:tcPr>
            <w:tcW w:w="1101" w:type="pct"/>
            <w:gridSpan w:val="3"/>
            <w:vAlign w:val="center"/>
          </w:tcPr>
          <w:p w:rsidR="00AF119B" w:rsidRPr="00F94A8B" w:rsidRDefault="00AF119B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</w:p>
          <w:p w:rsidR="000F61F4" w:rsidRPr="00F94A8B" w:rsidRDefault="000F61F4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Responsable</w:t>
            </w:r>
          </w:p>
        </w:tc>
        <w:tc>
          <w:tcPr>
            <w:tcW w:w="994" w:type="pct"/>
            <w:vAlign w:val="center"/>
          </w:tcPr>
          <w:p w:rsidR="00AF119B" w:rsidRPr="00F94A8B" w:rsidRDefault="00AF119B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</w:p>
          <w:p w:rsidR="000F61F4" w:rsidRPr="00F94A8B" w:rsidRDefault="000F61F4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Fecha Límite</w:t>
            </w:r>
          </w:p>
        </w:tc>
      </w:tr>
      <w:tr w:rsidR="00F94A8B" w:rsidRPr="001B0B16" w:rsidTr="00075770">
        <w:tc>
          <w:tcPr>
            <w:tcW w:w="2905" w:type="pct"/>
            <w:gridSpan w:val="2"/>
            <w:vAlign w:val="center"/>
          </w:tcPr>
          <w:p w:rsidR="000F61F4" w:rsidRPr="00F94A8B" w:rsidRDefault="007B217C" w:rsidP="00E252F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Enviar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PPT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utilizado en la reunión</w:t>
            </w:r>
            <w:r w:rsidR="00903229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y memoria</w:t>
            </w:r>
            <w:r w:rsidR="00E252F0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.</w:t>
            </w:r>
          </w:p>
        </w:tc>
        <w:tc>
          <w:tcPr>
            <w:tcW w:w="1101" w:type="pct"/>
            <w:gridSpan w:val="3"/>
            <w:vAlign w:val="center"/>
          </w:tcPr>
          <w:p w:rsidR="000F61F4" w:rsidRPr="00F94A8B" w:rsidRDefault="007B217C" w:rsidP="00AF119B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UICN</w:t>
            </w:r>
            <w:r w:rsidR="00DB2738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SUR</w:t>
            </w:r>
          </w:p>
        </w:tc>
        <w:tc>
          <w:tcPr>
            <w:tcW w:w="994" w:type="pct"/>
            <w:vAlign w:val="center"/>
          </w:tcPr>
          <w:p w:rsidR="000F61F4" w:rsidRPr="00F94A8B" w:rsidRDefault="00903229" w:rsidP="00AF119B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13</w:t>
            </w:r>
            <w:r w:rsid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03 / 2022</w:t>
            </w:r>
          </w:p>
        </w:tc>
      </w:tr>
      <w:tr w:rsidR="00F94A8B" w:rsidRPr="00E252F0" w:rsidTr="00075770">
        <w:tc>
          <w:tcPr>
            <w:tcW w:w="2905" w:type="pct"/>
            <w:gridSpan w:val="2"/>
            <w:vAlign w:val="center"/>
          </w:tcPr>
          <w:p w:rsidR="000F61F4" w:rsidRPr="00F94A8B" w:rsidRDefault="00934ACA" w:rsidP="00DB273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Revisar el plan de trabajo propuesto en el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PPT</w:t>
            </w:r>
            <w:proofErr w:type="spellEnd"/>
            <w:r w:rsidR="00DB2738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, mejorarlo y definir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cómo podría colaborar cada organización </w:t>
            </w:r>
            <w:r w:rsidR="00C026A8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(anexo 1)</w:t>
            </w:r>
          </w:p>
        </w:tc>
        <w:tc>
          <w:tcPr>
            <w:tcW w:w="1101" w:type="pct"/>
            <w:gridSpan w:val="3"/>
            <w:vAlign w:val="center"/>
          </w:tcPr>
          <w:p w:rsidR="000F61F4" w:rsidRPr="00F94A8B" w:rsidRDefault="00DB2738" w:rsidP="00AF119B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ECOA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WWF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ISPN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FCBC</w:t>
            </w:r>
            <w:proofErr w:type="spellEnd"/>
          </w:p>
        </w:tc>
        <w:tc>
          <w:tcPr>
            <w:tcW w:w="994" w:type="pct"/>
            <w:vAlign w:val="center"/>
          </w:tcPr>
          <w:p w:rsidR="000F61F4" w:rsidRPr="00F94A8B" w:rsidRDefault="00DB2738" w:rsidP="00AF119B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20/04/2022</w:t>
            </w:r>
          </w:p>
        </w:tc>
      </w:tr>
      <w:tr w:rsidR="00DB2738" w:rsidRPr="00E252F0" w:rsidTr="00DD0B86">
        <w:tc>
          <w:tcPr>
            <w:tcW w:w="2905" w:type="pct"/>
            <w:gridSpan w:val="2"/>
            <w:vAlign w:val="center"/>
          </w:tcPr>
          <w:p w:rsidR="00DB2738" w:rsidRPr="00E252F0" w:rsidRDefault="00DB2738" w:rsidP="00DB273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Revisar posibilidad de presentar en el seminario “Esquemas de Protección de Rios”</w:t>
            </w:r>
          </w:p>
        </w:tc>
        <w:tc>
          <w:tcPr>
            <w:tcW w:w="1101" w:type="pct"/>
            <w:gridSpan w:val="3"/>
            <w:vAlign w:val="center"/>
          </w:tcPr>
          <w:p w:rsidR="00DB2738" w:rsidRPr="00F94A8B" w:rsidRDefault="00DB2738" w:rsidP="00DD0B86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ECOA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UICN-SUR</w:t>
            </w:r>
          </w:p>
        </w:tc>
        <w:tc>
          <w:tcPr>
            <w:tcW w:w="994" w:type="pct"/>
            <w:vAlign w:val="center"/>
          </w:tcPr>
          <w:p w:rsidR="00DB2738" w:rsidRPr="00F94A8B" w:rsidRDefault="00DB2738" w:rsidP="00DD0B86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13/03/2022</w:t>
            </w:r>
          </w:p>
        </w:tc>
      </w:tr>
      <w:tr w:rsidR="00DB2738" w:rsidRPr="00585BC6" w:rsidTr="00DD0B86">
        <w:tc>
          <w:tcPr>
            <w:tcW w:w="2905" w:type="pct"/>
            <w:gridSpan w:val="2"/>
            <w:vAlign w:val="center"/>
          </w:tcPr>
          <w:p w:rsidR="00DB2738" w:rsidRDefault="00377E5C" w:rsidP="00DB273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Organizar reunión con otras recomendaciones para planificar reunión con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G.Quijandría</w:t>
            </w:r>
            <w:proofErr w:type="spellEnd"/>
          </w:p>
        </w:tc>
        <w:tc>
          <w:tcPr>
            <w:tcW w:w="1101" w:type="pct"/>
            <w:gridSpan w:val="3"/>
            <w:vAlign w:val="center"/>
          </w:tcPr>
          <w:p w:rsidR="00DB2738" w:rsidRDefault="00377E5C" w:rsidP="00DD0B86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ECOA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WWF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ISPN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</w:t>
            </w:r>
            <w:proofErr w:type="spell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FCBC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UICN SUR</w:t>
            </w:r>
          </w:p>
        </w:tc>
        <w:tc>
          <w:tcPr>
            <w:tcW w:w="994" w:type="pct"/>
            <w:vAlign w:val="center"/>
          </w:tcPr>
          <w:p w:rsidR="00DB2738" w:rsidRDefault="00DB2738" w:rsidP="00DD0B86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E252F0" w:rsidRPr="00E252F0" w:rsidTr="00075770">
        <w:tc>
          <w:tcPr>
            <w:tcW w:w="2905" w:type="pct"/>
            <w:gridSpan w:val="2"/>
            <w:vAlign w:val="center"/>
          </w:tcPr>
          <w:p w:rsidR="00E252F0" w:rsidRDefault="00E252F0" w:rsidP="00377E5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Próxima reunión: 2</w:t>
            </w:r>
            <w:r w:rsidR="00377E5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0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 de </w:t>
            </w:r>
            <w:r w:rsidR="00377E5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abril</w:t>
            </w:r>
          </w:p>
        </w:tc>
        <w:tc>
          <w:tcPr>
            <w:tcW w:w="1101" w:type="pct"/>
            <w:gridSpan w:val="3"/>
            <w:vAlign w:val="center"/>
          </w:tcPr>
          <w:p w:rsidR="00E252F0" w:rsidRDefault="00E252F0" w:rsidP="00AF119B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UICN SUR</w:t>
            </w:r>
          </w:p>
        </w:tc>
        <w:tc>
          <w:tcPr>
            <w:tcW w:w="994" w:type="pct"/>
            <w:vAlign w:val="center"/>
          </w:tcPr>
          <w:p w:rsidR="00E252F0" w:rsidRPr="00F94A8B" w:rsidRDefault="00DB2738" w:rsidP="00AF119B">
            <w:pPr>
              <w:pStyle w:val="ListParagraph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20/04/2022</w:t>
            </w:r>
          </w:p>
        </w:tc>
      </w:tr>
    </w:tbl>
    <w:p w:rsidR="00C026A8" w:rsidRDefault="00C026A8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EC"/>
        </w:rPr>
      </w:pPr>
    </w:p>
    <w:p w:rsidR="00C026A8" w:rsidRDefault="00C026A8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EC"/>
        </w:rPr>
      </w:pPr>
    </w:p>
    <w:p w:rsidR="00C026A8" w:rsidRDefault="00C026A8">
      <w:pPr>
        <w:rPr>
          <w:rFonts w:ascii="Segoe UI Light" w:hAnsi="Segoe UI Light" w:cs="Segoe UI Light"/>
          <w:color w:val="1F4E79" w:themeColor="accent1" w:themeShade="80"/>
          <w:sz w:val="20"/>
          <w:szCs w:val="20"/>
          <w:lang w:val="es-EC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EC"/>
        </w:rPr>
        <w:br w:type="page"/>
      </w:r>
    </w:p>
    <w:p w:rsidR="00AC03FF" w:rsidRDefault="00812055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EC"/>
        </w:rPr>
      </w:pPr>
      <w:r w:rsidRPr="00F94A8B">
        <w:rPr>
          <w:rFonts w:ascii="Segoe UI Light" w:hAnsi="Segoe UI Light" w:cs="Segoe UI Light"/>
          <w:noProof/>
          <w:color w:val="1F4E79" w:themeColor="accent1" w:themeShade="80"/>
          <w:sz w:val="20"/>
          <w:szCs w:val="20"/>
          <w:lang w:val="es-419" w:eastAsia="es-41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-7924</wp:posOffset>
            </wp:positionH>
            <wp:positionV relativeFrom="paragraph">
              <wp:posOffset>-9190493</wp:posOffset>
            </wp:positionV>
            <wp:extent cx="911860" cy="8997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ICN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EC"/>
        </w:rPr>
        <w:t>ANEXO 1: Propuesta de Plan de acción</w:t>
      </w:r>
    </w:p>
    <w:p w:rsidR="00C026A8" w:rsidRDefault="00C026A8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EC"/>
        </w:rPr>
      </w:pPr>
    </w:p>
    <w:p w:rsidR="009B6A3C" w:rsidRPr="00585BC6" w:rsidRDefault="009731CC" w:rsidP="00C026A8">
      <w:pPr>
        <w:numPr>
          <w:ilvl w:val="0"/>
          <w:numId w:val="9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highlight w:val="yellow"/>
          <w:lang w:val="es-419"/>
        </w:rPr>
      </w:pPr>
      <w:r w:rsidRPr="00585BC6">
        <w:rPr>
          <w:rFonts w:ascii="Segoe UI Light" w:hAnsi="Segoe UI Light" w:cs="Segoe UI Light"/>
          <w:color w:val="1F4E79" w:themeColor="accent1" w:themeShade="80"/>
          <w:sz w:val="20"/>
          <w:szCs w:val="20"/>
          <w:highlight w:val="yellow"/>
          <w:lang w:val="es-419"/>
        </w:rPr>
        <w:t>Comprender la motivación e intereses de los patrocinadores de la recomendación</w:t>
      </w:r>
    </w:p>
    <w:p w:rsidR="009B6A3C" w:rsidRPr="00C026A8" w:rsidRDefault="009731CC" w:rsidP="00C026A8">
      <w:pPr>
        <w:numPr>
          <w:ilvl w:val="0"/>
          <w:numId w:val="9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Explorar sinergias con otras resoluciones y recomendaciones similares</w:t>
      </w:r>
    </w:p>
    <w:p w:rsidR="00585BC6" w:rsidRDefault="00585BC6" w:rsidP="00585BC6">
      <w:pPr>
        <w:spacing w:after="0" w:line="276" w:lineRule="auto"/>
        <w:ind w:left="720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9B6A3C" w:rsidRPr="00C026A8" w:rsidRDefault="00C026A8" w:rsidP="00C026A8">
      <w:pPr>
        <w:numPr>
          <w:ilvl w:val="0"/>
          <w:numId w:val="9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Levantamiento de fondos.  Según la capacidad, planificar</w:t>
      </w:r>
    </w:p>
    <w:p w:rsidR="009B6A3C" w:rsidRPr="00C026A8" w:rsidRDefault="009731CC" w:rsidP="00C026A8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Evento regional: “Gobernanza del agua transfronterizas y represas en América del Sur”</w:t>
      </w:r>
    </w:p>
    <w:p w:rsidR="009B6A3C" w:rsidRPr="00C026A8" w:rsidRDefault="009731CC" w:rsidP="00C026A8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Estudio de caso: análisis costo-beneficio de la construcción de represas en el Alto Paraguay frente otro tipo de alternativas de generación eléctrica.</w:t>
      </w:r>
      <w:r w:rsid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 (DIVULGAR ESTUDIO </w:t>
      </w:r>
      <w:proofErr w:type="spellStart"/>
      <w:r w:rsid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WWF</w:t>
      </w:r>
      <w:proofErr w:type="spellEnd"/>
      <w:r w:rsid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)</w:t>
      </w:r>
    </w:p>
    <w:p w:rsidR="009B6A3C" w:rsidRPr="00C026A8" w:rsidRDefault="009731CC" w:rsidP="00C026A8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Plataforma colaborativa de valores ambientales vs amenazas en el Pantanal</w:t>
      </w:r>
    </w:p>
    <w:p w:rsidR="009B6A3C" w:rsidRPr="00C026A8" w:rsidRDefault="009731CC" w:rsidP="00C026A8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Fortalecimiento de capacidades de funcionarios técnicos con competencia en licenciamientos ambientales para represas</w:t>
      </w:r>
    </w:p>
    <w:p w:rsidR="009B6A3C" w:rsidRPr="00585BC6" w:rsidRDefault="009731CC" w:rsidP="00585BC6">
      <w:pPr>
        <w:pStyle w:val="ListParagraph"/>
        <w:numPr>
          <w:ilvl w:val="0"/>
          <w:numId w:val="9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585BC6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Desarrollo de un </w:t>
      </w:r>
      <w:proofErr w:type="spellStart"/>
      <w:r w:rsidRPr="00585BC6">
        <w:rPr>
          <w:rFonts w:ascii="Segoe UI Light" w:hAnsi="Segoe UI Light" w:cs="Segoe UI Light"/>
          <w:i/>
          <w:iCs/>
          <w:color w:val="1F4E79" w:themeColor="accent1" w:themeShade="80"/>
          <w:sz w:val="20"/>
          <w:szCs w:val="20"/>
          <w:lang w:val="es-419"/>
        </w:rPr>
        <w:t>Policy</w:t>
      </w:r>
      <w:proofErr w:type="spellEnd"/>
      <w:r w:rsidRPr="00585BC6">
        <w:rPr>
          <w:rFonts w:ascii="Segoe UI Light" w:hAnsi="Segoe UI Light" w:cs="Segoe UI Light"/>
          <w:i/>
          <w:iCs/>
          <w:color w:val="1F4E79" w:themeColor="accent1" w:themeShade="80"/>
          <w:sz w:val="20"/>
          <w:szCs w:val="20"/>
          <w:lang w:val="es-419"/>
        </w:rPr>
        <w:t xml:space="preserve"> </w:t>
      </w:r>
      <w:proofErr w:type="spellStart"/>
      <w:r w:rsidRPr="00585BC6">
        <w:rPr>
          <w:rFonts w:ascii="Segoe UI Light" w:hAnsi="Segoe UI Light" w:cs="Segoe UI Light"/>
          <w:i/>
          <w:iCs/>
          <w:color w:val="1F4E79" w:themeColor="accent1" w:themeShade="80"/>
          <w:sz w:val="20"/>
          <w:szCs w:val="20"/>
          <w:lang w:val="es-419"/>
        </w:rPr>
        <w:t>Brief</w:t>
      </w:r>
      <w:proofErr w:type="spellEnd"/>
      <w:r w:rsidRPr="00585BC6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 y otros materiales comunicacionales.</w:t>
      </w:r>
    </w:p>
    <w:p w:rsidR="00C026A8" w:rsidRDefault="00C026A8" w:rsidP="00C026A8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C026A8" w:rsidRPr="00C026A8" w:rsidRDefault="00C026A8" w:rsidP="00C026A8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Plan de Acción: </w:t>
      </w: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Evento regional: “Gobernanza del agua transfronterizas y represas en América del Sur”</w:t>
      </w:r>
    </w:p>
    <w:p w:rsidR="009B6A3C" w:rsidRPr="00C026A8" w:rsidRDefault="009731CC" w:rsidP="00C026A8">
      <w:pPr>
        <w:numPr>
          <w:ilvl w:val="0"/>
          <w:numId w:val="11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Identificar a los actores clave</w:t>
      </w:r>
    </w:p>
    <w:p w:rsidR="009B6A3C" w:rsidRPr="00C026A8" w:rsidRDefault="009731CC" w:rsidP="00C026A8">
      <w:pPr>
        <w:numPr>
          <w:ilvl w:val="0"/>
          <w:numId w:val="11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Mesas de diálogo / </w:t>
      </w:r>
      <w:proofErr w:type="spellStart"/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webinarios</w:t>
      </w:r>
      <w:proofErr w:type="spellEnd"/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:</w:t>
      </w:r>
    </w:p>
    <w:p w:rsidR="009B6A3C" w:rsidRPr="00C026A8" w:rsidRDefault="009731CC" w:rsidP="00C026A8">
      <w:pPr>
        <w:numPr>
          <w:ilvl w:val="1"/>
          <w:numId w:val="11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Biodiversidad, estado de conservación y amenazas para el Pantanal</w:t>
      </w:r>
    </w:p>
    <w:p w:rsidR="009B6A3C" w:rsidRPr="00C026A8" w:rsidRDefault="009731CC" w:rsidP="00C026A8">
      <w:pPr>
        <w:numPr>
          <w:ilvl w:val="1"/>
          <w:numId w:val="11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Costos y beneficios de la infraestructura hidráulica</w:t>
      </w:r>
    </w:p>
    <w:p w:rsidR="009B6A3C" w:rsidRPr="00C026A8" w:rsidRDefault="009731CC" w:rsidP="00C026A8">
      <w:pPr>
        <w:numPr>
          <w:ilvl w:val="1"/>
          <w:numId w:val="11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Gobernanza de Aguas transfronterizas</w:t>
      </w:r>
    </w:p>
    <w:p w:rsidR="009B6A3C" w:rsidRPr="00C026A8" w:rsidRDefault="009731CC" w:rsidP="00C026A8">
      <w:pPr>
        <w:numPr>
          <w:ilvl w:val="1"/>
          <w:numId w:val="11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Costos y beneficios de la infraestructura hidráulica en cuencas transfronterizas</w:t>
      </w:r>
    </w:p>
    <w:p w:rsidR="009B6A3C" w:rsidRPr="00C026A8" w:rsidRDefault="009731CC" w:rsidP="00C026A8">
      <w:pPr>
        <w:numPr>
          <w:ilvl w:val="0"/>
          <w:numId w:val="11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 w:rsidRPr="00C026A8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Estrategia de comunicación</w:t>
      </w:r>
    </w:p>
    <w:p w:rsidR="00004876" w:rsidRDefault="00004876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004876" w:rsidRDefault="00004876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004876" w:rsidRDefault="00004876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585BC6" w:rsidRDefault="00585BC6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proofErr w:type="spellStart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WWF</w:t>
      </w:r>
      <w:proofErr w:type="spellEnd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 está construyendo su estrategia de acción entre infraestructura y pantanal – podemos avanzar con verificar el plan y su contribución</w:t>
      </w:r>
    </w:p>
    <w:p w:rsidR="000B2A3A" w:rsidRDefault="000B2A3A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0B2A3A" w:rsidRDefault="000B2A3A" w:rsidP="00AF119B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Caso Rio </w:t>
      </w:r>
      <w:proofErr w:type="spellStart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Curiba</w:t>
      </w:r>
      <w:proofErr w:type="spellEnd"/>
    </w:p>
    <w:p w:rsidR="000B2A3A" w:rsidRDefault="000B2A3A" w:rsidP="000B2A3A">
      <w:pPr>
        <w:pStyle w:val="ListParagraph"/>
        <w:numPr>
          <w:ilvl w:val="0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Campaña de información</w:t>
      </w:r>
    </w:p>
    <w:p w:rsidR="000B2A3A" w:rsidRDefault="00004876" w:rsidP="000B2A3A">
      <w:pPr>
        <w:pStyle w:val="ListParagraph"/>
        <w:numPr>
          <w:ilvl w:val="1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Emergente: campaña </w:t>
      </w:r>
      <w:r w:rsidR="000B2A3A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en redes sociales con los materiales ya creados por las organizaciones</w:t>
      </w:r>
    </w:p>
    <w:p w:rsidR="00004876" w:rsidRDefault="00004876" w:rsidP="00004876">
      <w:pPr>
        <w:pStyle w:val="ListParagraph"/>
        <w:numPr>
          <w:ilvl w:val="2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Veto del Gobernador</w:t>
      </w:r>
    </w:p>
    <w:p w:rsidR="00004876" w:rsidRDefault="00004876" w:rsidP="009D328D">
      <w:pPr>
        <w:pStyle w:val="ListParagraph"/>
        <w:spacing w:after="0" w:line="276" w:lineRule="auto"/>
        <w:ind w:left="2160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004876" w:rsidRDefault="00004876" w:rsidP="00004876">
      <w:pPr>
        <w:pStyle w:val="ListParagraph"/>
        <w:numPr>
          <w:ilvl w:val="1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proofErr w:type="spellStart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Webinario</w:t>
      </w:r>
      <w:proofErr w:type="spellEnd"/>
    </w:p>
    <w:p w:rsidR="00004876" w:rsidRDefault="00004876" w:rsidP="00004876">
      <w:pPr>
        <w:pStyle w:val="ListParagraph"/>
        <w:numPr>
          <w:ilvl w:val="2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Objetivo: </w:t>
      </w:r>
      <w:proofErr w:type="gramStart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qué queremos como resultado?</w:t>
      </w:r>
      <w:proofErr w:type="gramEnd"/>
    </w:p>
    <w:p w:rsidR="00004876" w:rsidRDefault="00004876" w:rsidP="00004876">
      <w:pPr>
        <w:pStyle w:val="ListParagraph"/>
        <w:numPr>
          <w:ilvl w:val="2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proofErr w:type="spellStart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Publico</w:t>
      </w:r>
      <w:proofErr w:type="spellEnd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: tomadores de decisiones o público general</w:t>
      </w:r>
    </w:p>
    <w:p w:rsidR="00004876" w:rsidRDefault="00004876" w:rsidP="00004876">
      <w:pPr>
        <w:pStyle w:val="ListParagraph"/>
        <w:numPr>
          <w:ilvl w:val="2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Agenda / expositores </w:t>
      </w:r>
    </w:p>
    <w:p w:rsidR="00004876" w:rsidRDefault="00004876" w:rsidP="00004876">
      <w:pPr>
        <w:pStyle w:val="ListParagraph"/>
        <w:numPr>
          <w:ilvl w:val="2"/>
          <w:numId w:val="12"/>
        </w:num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Fechas adecuadas dentro del proceso electoral</w:t>
      </w:r>
    </w:p>
    <w:p w:rsid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lastRenderedPageBreak/>
        <w:t>Numero de resoluciones relacionadas</w:t>
      </w:r>
    </w:p>
    <w:p w:rsid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007 – 039 – </w:t>
      </w:r>
      <w:r w:rsidR="00BB0225"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059 - </w:t>
      </w:r>
      <w:bookmarkStart w:id="0" w:name="_GoBack"/>
      <w:bookmarkEnd w:id="0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063</w:t>
      </w:r>
    </w:p>
    <w:p w:rsid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  <w:proofErr w:type="spellStart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Cyntia</w:t>
      </w:r>
      <w:proofErr w:type="spellEnd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 xml:space="preserve"> Santos - </w:t>
      </w:r>
      <w:proofErr w:type="spellStart"/>
      <w: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  <w:t>WWF</w:t>
      </w:r>
      <w:proofErr w:type="spellEnd"/>
    </w:p>
    <w:p w:rsid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p w:rsidR="009D328D" w:rsidRPr="009D328D" w:rsidRDefault="009D328D" w:rsidP="009D328D">
      <w:pPr>
        <w:spacing w:after="0" w:line="276" w:lineRule="auto"/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sectPr w:rsidR="009D328D" w:rsidRPr="009D328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0C" w:rsidRDefault="00F8090C" w:rsidP="00075770">
      <w:pPr>
        <w:spacing w:after="0" w:line="240" w:lineRule="auto"/>
      </w:pPr>
      <w:r>
        <w:separator/>
      </w:r>
    </w:p>
  </w:endnote>
  <w:endnote w:type="continuationSeparator" w:id="0">
    <w:p w:rsidR="00F8090C" w:rsidRDefault="00F8090C" w:rsidP="000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0C" w:rsidRDefault="00F8090C" w:rsidP="00075770">
      <w:pPr>
        <w:spacing w:after="0" w:line="240" w:lineRule="auto"/>
      </w:pPr>
      <w:r>
        <w:separator/>
      </w:r>
    </w:p>
  </w:footnote>
  <w:footnote w:type="continuationSeparator" w:id="0">
    <w:p w:rsidR="00F8090C" w:rsidRDefault="00F8090C" w:rsidP="000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70" w:rsidRDefault="0007577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75770" w:rsidTr="00075770">
      <w:tc>
        <w:tcPr>
          <w:tcW w:w="3005" w:type="dxa"/>
        </w:tcPr>
        <w:p w:rsidR="00075770" w:rsidRDefault="00075770">
          <w:pPr>
            <w:pStyle w:val="Header"/>
          </w:pPr>
          <w:r>
            <w:rPr>
              <w:noProof/>
              <w:lang w:val="es-419" w:eastAsia="es-419"/>
            </w:rPr>
            <w:drawing>
              <wp:inline distT="0" distB="0" distL="0" distR="0">
                <wp:extent cx="900000" cy="888088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UICN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88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075770" w:rsidRPr="00075770" w:rsidRDefault="00075770" w:rsidP="00075770">
          <w:pPr>
            <w:pStyle w:val="Header"/>
            <w:jc w:val="center"/>
            <w:rPr>
              <w:sz w:val="40"/>
              <w:szCs w:val="40"/>
            </w:rPr>
          </w:pPr>
          <w:r w:rsidRPr="00075770">
            <w:rPr>
              <w:rFonts w:ascii="Segoe UI" w:hAnsi="Segoe UI" w:cs="Segoe UI"/>
              <w:color w:val="4793CD"/>
              <w:sz w:val="40"/>
              <w:szCs w:val="40"/>
              <w:lang w:val="es-EC"/>
            </w:rPr>
            <w:t>MEMORIA DE REUNIÓN</w:t>
          </w:r>
        </w:p>
      </w:tc>
      <w:tc>
        <w:tcPr>
          <w:tcW w:w="3006" w:type="dxa"/>
        </w:tcPr>
        <w:p w:rsidR="00075770" w:rsidRDefault="00075770" w:rsidP="00075770">
          <w:pPr>
            <w:pStyle w:val="Header"/>
            <w:jc w:val="right"/>
          </w:pPr>
          <w:r w:rsidRPr="00F94A8B">
            <w:rPr>
              <w:rFonts w:asciiTheme="majorHAnsi" w:hAnsiTheme="majorHAnsi" w:cstheme="majorHAnsi"/>
              <w:noProof/>
              <w:color w:val="595959" w:themeColor="text1" w:themeTint="A6"/>
              <w:sz w:val="20"/>
              <w:szCs w:val="20"/>
              <w:lang w:val="es-419" w:eastAsia="es-419"/>
            </w:rPr>
            <w:drawing>
              <wp:inline distT="0" distB="0" distL="0" distR="0">
                <wp:extent cx="820193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RIDGE (RVB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19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94A8B">
            <w:rPr>
              <w:rFonts w:asciiTheme="majorHAnsi" w:hAnsiTheme="majorHAnsi" w:cstheme="majorHAnsi"/>
              <w:noProof/>
              <w:color w:val="595959" w:themeColor="text1" w:themeTint="A6"/>
              <w:sz w:val="20"/>
              <w:szCs w:val="20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37BA79E2" wp14:editId="07E2A65A">
                <wp:simplePos x="0" y="0"/>
                <wp:positionH relativeFrom="margin">
                  <wp:posOffset>-965426060</wp:posOffset>
                </wp:positionH>
                <wp:positionV relativeFrom="paragraph">
                  <wp:posOffset>-127670560</wp:posOffset>
                </wp:positionV>
                <wp:extent cx="1129030" cy="123888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RIDGE (RVB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30" cy="1238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5770" w:rsidRDefault="00075770">
    <w:pPr>
      <w:pStyle w:val="Header"/>
    </w:pPr>
  </w:p>
  <w:p w:rsidR="00075770" w:rsidRDefault="00075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EA4"/>
    <w:multiLevelType w:val="hybridMultilevel"/>
    <w:tmpl w:val="ED1E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D2C"/>
    <w:multiLevelType w:val="hybridMultilevel"/>
    <w:tmpl w:val="F45C3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AF9"/>
    <w:multiLevelType w:val="hybridMultilevel"/>
    <w:tmpl w:val="CF1ACB90"/>
    <w:lvl w:ilvl="0" w:tplc="9F0C332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6C45"/>
    <w:multiLevelType w:val="hybridMultilevel"/>
    <w:tmpl w:val="A588F69C"/>
    <w:lvl w:ilvl="0" w:tplc="5298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68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0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4F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0C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AE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A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F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E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B470F"/>
    <w:multiLevelType w:val="hybridMultilevel"/>
    <w:tmpl w:val="9A8A3F62"/>
    <w:lvl w:ilvl="0" w:tplc="65C4818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77EB"/>
    <w:multiLevelType w:val="hybridMultilevel"/>
    <w:tmpl w:val="D9B447DE"/>
    <w:lvl w:ilvl="0" w:tplc="FCA87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6370"/>
    <w:multiLevelType w:val="hybridMultilevel"/>
    <w:tmpl w:val="50EA9F16"/>
    <w:lvl w:ilvl="0" w:tplc="9F0C332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10B0"/>
    <w:multiLevelType w:val="hybridMultilevel"/>
    <w:tmpl w:val="E5C42A66"/>
    <w:lvl w:ilvl="0" w:tplc="E91ED7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322C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974FD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7619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F86C9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1B2C6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58DF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0F2D3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DDE2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96684"/>
    <w:multiLevelType w:val="hybridMultilevel"/>
    <w:tmpl w:val="B644D6A6"/>
    <w:lvl w:ilvl="0" w:tplc="D2BAD77E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246" w:hanging="360"/>
      </w:pPr>
    </w:lvl>
    <w:lvl w:ilvl="2" w:tplc="580A001B" w:tentative="1">
      <w:start w:val="1"/>
      <w:numFmt w:val="lowerRoman"/>
      <w:lvlText w:val="%3."/>
      <w:lvlJc w:val="right"/>
      <w:pPr>
        <w:ind w:left="1966" w:hanging="180"/>
      </w:pPr>
    </w:lvl>
    <w:lvl w:ilvl="3" w:tplc="580A000F" w:tentative="1">
      <w:start w:val="1"/>
      <w:numFmt w:val="decimal"/>
      <w:lvlText w:val="%4."/>
      <w:lvlJc w:val="left"/>
      <w:pPr>
        <w:ind w:left="2686" w:hanging="360"/>
      </w:pPr>
    </w:lvl>
    <w:lvl w:ilvl="4" w:tplc="580A0019" w:tentative="1">
      <w:start w:val="1"/>
      <w:numFmt w:val="lowerLetter"/>
      <w:lvlText w:val="%5."/>
      <w:lvlJc w:val="left"/>
      <w:pPr>
        <w:ind w:left="3406" w:hanging="360"/>
      </w:pPr>
    </w:lvl>
    <w:lvl w:ilvl="5" w:tplc="580A001B" w:tentative="1">
      <w:start w:val="1"/>
      <w:numFmt w:val="lowerRoman"/>
      <w:lvlText w:val="%6."/>
      <w:lvlJc w:val="right"/>
      <w:pPr>
        <w:ind w:left="4126" w:hanging="180"/>
      </w:pPr>
    </w:lvl>
    <w:lvl w:ilvl="6" w:tplc="580A000F" w:tentative="1">
      <w:start w:val="1"/>
      <w:numFmt w:val="decimal"/>
      <w:lvlText w:val="%7."/>
      <w:lvlJc w:val="left"/>
      <w:pPr>
        <w:ind w:left="4846" w:hanging="360"/>
      </w:pPr>
    </w:lvl>
    <w:lvl w:ilvl="7" w:tplc="580A0019" w:tentative="1">
      <w:start w:val="1"/>
      <w:numFmt w:val="lowerLetter"/>
      <w:lvlText w:val="%8."/>
      <w:lvlJc w:val="left"/>
      <w:pPr>
        <w:ind w:left="5566" w:hanging="360"/>
      </w:pPr>
    </w:lvl>
    <w:lvl w:ilvl="8" w:tplc="580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9" w15:restartNumberingAfterBreak="0">
    <w:nsid w:val="6CDF7889"/>
    <w:multiLevelType w:val="hybridMultilevel"/>
    <w:tmpl w:val="B644D6A6"/>
    <w:lvl w:ilvl="0" w:tplc="D2BAD77E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246" w:hanging="360"/>
      </w:pPr>
    </w:lvl>
    <w:lvl w:ilvl="2" w:tplc="580A001B" w:tentative="1">
      <w:start w:val="1"/>
      <w:numFmt w:val="lowerRoman"/>
      <w:lvlText w:val="%3."/>
      <w:lvlJc w:val="right"/>
      <w:pPr>
        <w:ind w:left="1966" w:hanging="180"/>
      </w:pPr>
    </w:lvl>
    <w:lvl w:ilvl="3" w:tplc="580A000F" w:tentative="1">
      <w:start w:val="1"/>
      <w:numFmt w:val="decimal"/>
      <w:lvlText w:val="%4."/>
      <w:lvlJc w:val="left"/>
      <w:pPr>
        <w:ind w:left="2686" w:hanging="360"/>
      </w:pPr>
    </w:lvl>
    <w:lvl w:ilvl="4" w:tplc="580A0019" w:tentative="1">
      <w:start w:val="1"/>
      <w:numFmt w:val="lowerLetter"/>
      <w:lvlText w:val="%5."/>
      <w:lvlJc w:val="left"/>
      <w:pPr>
        <w:ind w:left="3406" w:hanging="360"/>
      </w:pPr>
    </w:lvl>
    <w:lvl w:ilvl="5" w:tplc="580A001B" w:tentative="1">
      <w:start w:val="1"/>
      <w:numFmt w:val="lowerRoman"/>
      <w:lvlText w:val="%6."/>
      <w:lvlJc w:val="right"/>
      <w:pPr>
        <w:ind w:left="4126" w:hanging="180"/>
      </w:pPr>
    </w:lvl>
    <w:lvl w:ilvl="6" w:tplc="580A000F" w:tentative="1">
      <w:start w:val="1"/>
      <w:numFmt w:val="decimal"/>
      <w:lvlText w:val="%7."/>
      <w:lvlJc w:val="left"/>
      <w:pPr>
        <w:ind w:left="4846" w:hanging="360"/>
      </w:pPr>
    </w:lvl>
    <w:lvl w:ilvl="7" w:tplc="580A0019" w:tentative="1">
      <w:start w:val="1"/>
      <w:numFmt w:val="lowerLetter"/>
      <w:lvlText w:val="%8."/>
      <w:lvlJc w:val="left"/>
      <w:pPr>
        <w:ind w:left="5566" w:hanging="360"/>
      </w:pPr>
    </w:lvl>
    <w:lvl w:ilvl="8" w:tplc="580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0" w15:restartNumberingAfterBreak="0">
    <w:nsid w:val="732E72D9"/>
    <w:multiLevelType w:val="hybridMultilevel"/>
    <w:tmpl w:val="85489C28"/>
    <w:lvl w:ilvl="0" w:tplc="3DF09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9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D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6D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BA7975"/>
    <w:multiLevelType w:val="hybridMultilevel"/>
    <w:tmpl w:val="90BCEA38"/>
    <w:lvl w:ilvl="0" w:tplc="A8DEC9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FF"/>
    <w:rsid w:val="00004876"/>
    <w:rsid w:val="00075770"/>
    <w:rsid w:val="00081298"/>
    <w:rsid w:val="000A3274"/>
    <w:rsid w:val="000B2A3A"/>
    <w:rsid w:val="000F61F4"/>
    <w:rsid w:val="00150AA9"/>
    <w:rsid w:val="001725FC"/>
    <w:rsid w:val="001B0B16"/>
    <w:rsid w:val="001B32B4"/>
    <w:rsid w:val="00220437"/>
    <w:rsid w:val="0030570D"/>
    <w:rsid w:val="00377E5C"/>
    <w:rsid w:val="003912AA"/>
    <w:rsid w:val="00465670"/>
    <w:rsid w:val="00491D82"/>
    <w:rsid w:val="004D132E"/>
    <w:rsid w:val="00523F2C"/>
    <w:rsid w:val="00544F74"/>
    <w:rsid w:val="00585BC6"/>
    <w:rsid w:val="005B11C3"/>
    <w:rsid w:val="005C3D1D"/>
    <w:rsid w:val="005D3EF6"/>
    <w:rsid w:val="005E46DD"/>
    <w:rsid w:val="006B7231"/>
    <w:rsid w:val="00703C9E"/>
    <w:rsid w:val="0071420A"/>
    <w:rsid w:val="00724150"/>
    <w:rsid w:val="0078447D"/>
    <w:rsid w:val="007B217C"/>
    <w:rsid w:val="007E124C"/>
    <w:rsid w:val="00812055"/>
    <w:rsid w:val="0083171B"/>
    <w:rsid w:val="008542AD"/>
    <w:rsid w:val="008F4DA6"/>
    <w:rsid w:val="00903229"/>
    <w:rsid w:val="00934ACA"/>
    <w:rsid w:val="009731CC"/>
    <w:rsid w:val="009B6A3C"/>
    <w:rsid w:val="009B74B9"/>
    <w:rsid w:val="009C299D"/>
    <w:rsid w:val="009D328D"/>
    <w:rsid w:val="009F1BAD"/>
    <w:rsid w:val="00A67781"/>
    <w:rsid w:val="00AC03FF"/>
    <w:rsid w:val="00AF119B"/>
    <w:rsid w:val="00B138CA"/>
    <w:rsid w:val="00B451F2"/>
    <w:rsid w:val="00BB0225"/>
    <w:rsid w:val="00C026A8"/>
    <w:rsid w:val="00C40564"/>
    <w:rsid w:val="00C616B1"/>
    <w:rsid w:val="00C72994"/>
    <w:rsid w:val="00C73E1D"/>
    <w:rsid w:val="00D90116"/>
    <w:rsid w:val="00DB2738"/>
    <w:rsid w:val="00DB76E9"/>
    <w:rsid w:val="00E252F0"/>
    <w:rsid w:val="00F60D3F"/>
    <w:rsid w:val="00F8090C"/>
    <w:rsid w:val="00F853EF"/>
    <w:rsid w:val="00F94A8B"/>
    <w:rsid w:val="00FA1215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0CCE6"/>
  <w15:chartTrackingRefBased/>
  <w15:docId w15:val="{8EA343F2-C497-44A2-A1E7-56184389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70"/>
  </w:style>
  <w:style w:type="paragraph" w:styleId="Footer">
    <w:name w:val="footer"/>
    <w:basedOn w:val="Normal"/>
    <w:link w:val="FooterChar"/>
    <w:uiPriority w:val="99"/>
    <w:unhideWhenUsed/>
    <w:rsid w:val="0007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70"/>
  </w:style>
  <w:style w:type="character" w:styleId="Hyperlink">
    <w:name w:val="Hyperlink"/>
    <w:basedOn w:val="DefaultParagraphFont"/>
    <w:uiPriority w:val="99"/>
    <w:unhideWhenUsed/>
    <w:rsid w:val="001B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0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7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6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1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5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riosvivos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@riosvivos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aura.pineiros@iuc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PIÑEIROS Laura</dc:creator>
  <cp:keywords/>
  <dc:description/>
  <cp:lastModifiedBy>PIÑEIROS Laura</cp:lastModifiedBy>
  <cp:revision>9</cp:revision>
  <dcterms:created xsi:type="dcterms:W3CDTF">2022-03-08T13:28:00Z</dcterms:created>
  <dcterms:modified xsi:type="dcterms:W3CDTF">2022-05-17T19:59:00Z</dcterms:modified>
</cp:coreProperties>
</file>